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22AC7CC" w:rsidR="00F92268" w:rsidRPr="00FF66BF" w:rsidRDefault="00292C93" w:rsidP="00F246C7">
            <w:pPr>
              <w:pStyle w:val="RefTableHeader"/>
            </w:pPr>
            <w:r w:rsidRPr="00292C93">
              <w:t>915-J</w:t>
            </w:r>
          </w:p>
        </w:tc>
      </w:tr>
    </w:tbl>
    <w:p w14:paraId="7E7BA939" w14:textId="77777777" w:rsidR="007278B4" w:rsidRDefault="007278B4" w:rsidP="007F0BD8">
      <w:pPr>
        <w:pStyle w:val="BodyText"/>
        <w:sectPr w:rsidR="007278B4" w:rsidSect="007278B4">
          <w:headerReference w:type="default" r:id="rId12"/>
          <w:footerReference w:type="default" r:id="rId13"/>
          <w:footerReference w:type="first" r:id="rId14"/>
          <w:type w:val="continuous"/>
          <w:pgSz w:w="12240" w:h="15840" w:code="1"/>
          <w:pgMar w:top="900" w:right="720" w:bottom="990" w:left="720" w:header="720" w:footer="806" w:gutter="0"/>
          <w:paperSrc w:first="15" w:other="15"/>
          <w:cols w:space="720"/>
          <w:titlePg/>
          <w:docGrid w:linePitch="299"/>
        </w:sectPr>
      </w:pPr>
    </w:p>
    <w:p w14:paraId="2D673C6D" w14:textId="641BE98E" w:rsidR="00A840D8" w:rsidRDefault="001536AA" w:rsidP="00A840D8">
      <w:pPr>
        <w:pStyle w:val="Heading1"/>
      </w:pPr>
      <w:r>
        <w:t xml:space="preserve">Post Limit </w:t>
      </w:r>
      <w:r w:rsidR="006B4EC3">
        <w:t>Prior Authorization</w:t>
      </w:r>
    </w:p>
    <w:p w14:paraId="6C85DD03" w14:textId="149FC688" w:rsidR="00A840D8" w:rsidRPr="00BD1CC1" w:rsidRDefault="00A840D8" w:rsidP="00A840D8">
      <w:pPr>
        <w:pStyle w:val="Heading1"/>
      </w:pPr>
      <w:r>
        <w:t>Insomnia Agents</w:t>
      </w:r>
    </w:p>
    <w:p w14:paraId="667CBDDD" w14:textId="77777777" w:rsidR="00A840D8" w:rsidRPr="00BD1CC1" w:rsidRDefault="00A840D8" w:rsidP="00A840D8">
      <w:pPr>
        <w:pStyle w:val="Heading2"/>
      </w:pPr>
      <w:r w:rsidRPr="00BD1CC1">
        <w:t>Products Referenced by this Document</w:t>
      </w:r>
    </w:p>
    <w:p w14:paraId="5A8CB833" w14:textId="14D662B0" w:rsidR="00A840D8" w:rsidRDefault="00A840D8" w:rsidP="00A840D8">
      <w:pPr>
        <w:pStyle w:val="BodyText"/>
      </w:pPr>
      <w:r w:rsidRPr="00BD1CC1">
        <w:t xml:space="preserve">Drugs that are listed in the following table include both brand and generic and all dosage forms and strengths unless otherwise stated. </w:t>
      </w:r>
      <w:r w:rsidR="00EB065C">
        <w:t>Over</w:t>
      </w:r>
      <w:r w:rsidR="007278B4">
        <w:t>-</w:t>
      </w:r>
      <w:r w:rsidR="00EB065C">
        <w:t>the</w:t>
      </w:r>
      <w:r w:rsidR="007278B4">
        <w:t>-</w:t>
      </w:r>
      <w:r w:rsidR="00EB065C">
        <w:t>counter (</w:t>
      </w:r>
      <w:r w:rsidRPr="00BD1CC1">
        <w:t>OTC</w:t>
      </w:r>
      <w:r w:rsidR="00EB065C">
        <w:t>)</w:t>
      </w:r>
      <w:r w:rsidRPr="00BD1CC1">
        <w:t xml:space="preserve"> products are not included unless otherwise stated.</w:t>
      </w:r>
    </w:p>
    <w:p w14:paraId="68A7230A" w14:textId="7E3D373C" w:rsidR="006508DC" w:rsidRDefault="006508DC" w:rsidP="006508DC">
      <w:pPr>
        <w:pStyle w:val="BodyText"/>
      </w:pPr>
      <w:r w:rsidRPr="00370DC5">
        <w:t xml:space="preserve">Edluar, zolpidem tartrate sublingual tablets (generic Intermezzo), ZolpiMist, </w:t>
      </w:r>
      <w:proofErr w:type="spellStart"/>
      <w:r w:rsidRPr="00370DC5">
        <w:t>Belsomra</w:t>
      </w:r>
      <w:proofErr w:type="spellEnd"/>
      <w:r w:rsidRPr="00370DC5">
        <w:t>, Dayvigo</w:t>
      </w:r>
      <w:r w:rsidR="00F64AB4">
        <w:t>,</w:t>
      </w:r>
      <w:r w:rsidRPr="00370DC5">
        <w:t xml:space="preserve"> and Quviviq are not included in these criteria. Refer to Insomnia (zolpidem sublingual, oral spray) or Insomnia (</w:t>
      </w:r>
      <w:proofErr w:type="spellStart"/>
      <w:r w:rsidRPr="00370DC5">
        <w:t>Belsomra</w:t>
      </w:r>
      <w:proofErr w:type="spellEnd"/>
      <w:r w:rsidRPr="00370DC5">
        <w:t>, Dayvigo, Quviviq) Prior Authorization criteria.</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120"/>
        <w:gridCol w:w="3780"/>
        <w:gridCol w:w="3870"/>
      </w:tblGrid>
      <w:tr w:rsidR="00DD5876" w:rsidRPr="00BD1CC1" w14:paraId="7BB23701" w14:textId="77777777" w:rsidTr="00DD5876">
        <w:trPr>
          <w:cantSplit/>
          <w:trHeight w:val="288"/>
          <w:tblHeader/>
        </w:trPr>
        <w:tc>
          <w:tcPr>
            <w:tcW w:w="3120" w:type="dxa"/>
            <w:vAlign w:val="center"/>
          </w:tcPr>
          <w:p w14:paraId="611DD448" w14:textId="77777777" w:rsidR="00DD5876" w:rsidRPr="00BD1CC1" w:rsidRDefault="00DD5876" w:rsidP="00D61D7F">
            <w:pPr>
              <w:pStyle w:val="TableHeader"/>
            </w:pPr>
            <w:r w:rsidRPr="00BD1CC1">
              <w:t>Brand Name</w:t>
            </w:r>
          </w:p>
        </w:tc>
        <w:tc>
          <w:tcPr>
            <w:tcW w:w="3780" w:type="dxa"/>
            <w:vAlign w:val="center"/>
          </w:tcPr>
          <w:p w14:paraId="5065C0B9" w14:textId="77777777" w:rsidR="00DD5876" w:rsidRPr="00BD1CC1" w:rsidRDefault="00DD5876" w:rsidP="00D61D7F">
            <w:pPr>
              <w:pStyle w:val="TableHeader"/>
            </w:pPr>
            <w:r w:rsidRPr="00BD1CC1">
              <w:t>Generic Name</w:t>
            </w:r>
          </w:p>
        </w:tc>
        <w:tc>
          <w:tcPr>
            <w:tcW w:w="3870" w:type="dxa"/>
          </w:tcPr>
          <w:p w14:paraId="6A9F48A1" w14:textId="77777777" w:rsidR="00DD5876" w:rsidRPr="00BD1CC1" w:rsidRDefault="00DD5876" w:rsidP="00D61D7F">
            <w:pPr>
              <w:pStyle w:val="TableHeader"/>
            </w:pPr>
            <w:r>
              <w:t>Dosage Form</w:t>
            </w:r>
          </w:p>
        </w:tc>
      </w:tr>
      <w:tr w:rsidR="00DD5876" w:rsidRPr="00D40AD7" w14:paraId="1F0A06C6" w14:textId="77777777" w:rsidTr="00DD5876">
        <w:trPr>
          <w:cantSplit/>
        </w:trPr>
        <w:tc>
          <w:tcPr>
            <w:tcW w:w="3120" w:type="dxa"/>
          </w:tcPr>
          <w:p w14:paraId="7EF51E7D" w14:textId="77777777" w:rsidR="00DD5876" w:rsidRPr="00BD1CC1" w:rsidRDefault="00DD5876" w:rsidP="00D61D7F">
            <w:pPr>
              <w:pStyle w:val="TableDataUnpadded"/>
            </w:pPr>
            <w:r>
              <w:t>Ambien</w:t>
            </w:r>
          </w:p>
        </w:tc>
        <w:tc>
          <w:tcPr>
            <w:tcW w:w="3780" w:type="dxa"/>
          </w:tcPr>
          <w:p w14:paraId="1C9FAECD" w14:textId="77777777" w:rsidR="00DD5876" w:rsidRPr="00BD1CC1" w:rsidRDefault="00DD5876" w:rsidP="00D61D7F">
            <w:pPr>
              <w:pStyle w:val="TableDataUnpadded"/>
            </w:pPr>
            <w:r w:rsidRPr="00D40AD7">
              <w:t>zolpidem</w:t>
            </w:r>
          </w:p>
        </w:tc>
        <w:tc>
          <w:tcPr>
            <w:tcW w:w="3870" w:type="dxa"/>
          </w:tcPr>
          <w:p w14:paraId="3501BF06" w14:textId="77777777" w:rsidR="00DD5876" w:rsidRPr="00D40AD7" w:rsidRDefault="00DD5876" w:rsidP="00D61D7F">
            <w:pPr>
              <w:pStyle w:val="TableDataUnpadded"/>
            </w:pPr>
            <w:r>
              <w:t>all</w:t>
            </w:r>
          </w:p>
        </w:tc>
      </w:tr>
      <w:tr w:rsidR="00DD5876" w:rsidRPr="001C66B5" w14:paraId="23F4BEAC" w14:textId="77777777" w:rsidTr="00DD5876">
        <w:trPr>
          <w:cantSplit/>
        </w:trPr>
        <w:tc>
          <w:tcPr>
            <w:tcW w:w="3120" w:type="dxa"/>
          </w:tcPr>
          <w:p w14:paraId="5EB2993E" w14:textId="77777777" w:rsidR="00DD5876" w:rsidRPr="00BD1CC1" w:rsidRDefault="00DD5876" w:rsidP="00D61D7F">
            <w:pPr>
              <w:pStyle w:val="TableDataUnpadded"/>
            </w:pPr>
            <w:r>
              <w:t>Ambien CR</w:t>
            </w:r>
          </w:p>
        </w:tc>
        <w:tc>
          <w:tcPr>
            <w:tcW w:w="3780" w:type="dxa"/>
          </w:tcPr>
          <w:p w14:paraId="04ADCC06" w14:textId="77777777" w:rsidR="00DD5876" w:rsidRPr="00BD1CC1" w:rsidRDefault="00DD5876" w:rsidP="00D61D7F">
            <w:pPr>
              <w:pStyle w:val="TableDataUnpadded"/>
            </w:pPr>
            <w:r w:rsidRPr="001C66B5">
              <w:t>zolpidem extended-release</w:t>
            </w:r>
          </w:p>
        </w:tc>
        <w:tc>
          <w:tcPr>
            <w:tcW w:w="3870" w:type="dxa"/>
          </w:tcPr>
          <w:p w14:paraId="1A78B642" w14:textId="77777777" w:rsidR="00DD5876" w:rsidRPr="001C66B5" w:rsidRDefault="00DD5876" w:rsidP="00D61D7F">
            <w:pPr>
              <w:pStyle w:val="TableDataUnpadded"/>
            </w:pPr>
            <w:r>
              <w:t>all</w:t>
            </w:r>
          </w:p>
        </w:tc>
      </w:tr>
      <w:tr w:rsidR="00DD5876" w:rsidRPr="00DC0624" w14:paraId="67E598C9" w14:textId="77777777" w:rsidTr="00DD5876">
        <w:trPr>
          <w:cantSplit/>
        </w:trPr>
        <w:tc>
          <w:tcPr>
            <w:tcW w:w="3120" w:type="dxa"/>
          </w:tcPr>
          <w:p w14:paraId="7F4384E7" w14:textId="77777777" w:rsidR="00DD5876" w:rsidRPr="00BD1CC1" w:rsidRDefault="00DD5876" w:rsidP="00D61D7F">
            <w:pPr>
              <w:pStyle w:val="TableDataUnpadded"/>
            </w:pPr>
            <w:r>
              <w:t>Doral</w:t>
            </w:r>
          </w:p>
        </w:tc>
        <w:tc>
          <w:tcPr>
            <w:tcW w:w="3780" w:type="dxa"/>
          </w:tcPr>
          <w:p w14:paraId="5C4E8981" w14:textId="77777777" w:rsidR="00DD5876" w:rsidRPr="00BD1CC1" w:rsidRDefault="00DD5876" w:rsidP="00D61D7F">
            <w:pPr>
              <w:pStyle w:val="TableDataUnpadded"/>
            </w:pPr>
            <w:r w:rsidRPr="00DC0624">
              <w:t>quazepam</w:t>
            </w:r>
          </w:p>
        </w:tc>
        <w:tc>
          <w:tcPr>
            <w:tcW w:w="3870" w:type="dxa"/>
          </w:tcPr>
          <w:p w14:paraId="4BFDEFCE" w14:textId="77777777" w:rsidR="00DD5876" w:rsidRPr="00DC0624" w:rsidRDefault="00DD5876" w:rsidP="00D61D7F">
            <w:pPr>
              <w:pStyle w:val="TableDataUnpadded"/>
            </w:pPr>
            <w:r>
              <w:t>all</w:t>
            </w:r>
          </w:p>
        </w:tc>
      </w:tr>
      <w:tr w:rsidR="00DD5876" w14:paraId="5A012B82" w14:textId="77777777" w:rsidTr="00DD5876">
        <w:trPr>
          <w:cantSplit/>
        </w:trPr>
        <w:tc>
          <w:tcPr>
            <w:tcW w:w="3120" w:type="dxa"/>
          </w:tcPr>
          <w:p w14:paraId="6E2346E3" w14:textId="7F94B713" w:rsidR="00DD5876" w:rsidRDefault="00DD5876" w:rsidP="00D61D7F">
            <w:pPr>
              <w:pStyle w:val="TableDataUnpadded"/>
            </w:pPr>
            <w:r w:rsidRPr="007E31D9">
              <w:t>estazolam</w:t>
            </w:r>
            <w:r>
              <w:t xml:space="preserve"> (</w:t>
            </w:r>
            <w:r w:rsidR="007278B4">
              <w:t>brand unavailable</w:t>
            </w:r>
            <w:r>
              <w:t>)</w:t>
            </w:r>
          </w:p>
        </w:tc>
        <w:tc>
          <w:tcPr>
            <w:tcW w:w="3780" w:type="dxa"/>
          </w:tcPr>
          <w:p w14:paraId="5A635392" w14:textId="77777777" w:rsidR="00DD5876" w:rsidRPr="00DC0624" w:rsidRDefault="00DD5876" w:rsidP="00D61D7F">
            <w:pPr>
              <w:pStyle w:val="TableDataUnpadded"/>
            </w:pPr>
            <w:r>
              <w:t>estazolam</w:t>
            </w:r>
          </w:p>
        </w:tc>
        <w:tc>
          <w:tcPr>
            <w:tcW w:w="3870" w:type="dxa"/>
          </w:tcPr>
          <w:p w14:paraId="2F89F177" w14:textId="77777777" w:rsidR="00DD5876" w:rsidRDefault="00DD5876" w:rsidP="00D61D7F">
            <w:pPr>
              <w:pStyle w:val="TableDataUnpadded"/>
            </w:pPr>
            <w:r w:rsidRPr="00F907A1">
              <w:t>all</w:t>
            </w:r>
          </w:p>
        </w:tc>
      </w:tr>
      <w:tr w:rsidR="00DD5876" w14:paraId="1CE7AAD9" w14:textId="77777777" w:rsidTr="00DD5876">
        <w:trPr>
          <w:cantSplit/>
        </w:trPr>
        <w:tc>
          <w:tcPr>
            <w:tcW w:w="3120" w:type="dxa"/>
          </w:tcPr>
          <w:p w14:paraId="79EF0CCA" w14:textId="07405C80" w:rsidR="00DD5876" w:rsidRDefault="00DD5876" w:rsidP="00D61D7F">
            <w:pPr>
              <w:pStyle w:val="TableDataUnpadded"/>
            </w:pPr>
            <w:r w:rsidRPr="007E31D9">
              <w:t>flurazepam</w:t>
            </w:r>
            <w:r>
              <w:t xml:space="preserve"> (</w:t>
            </w:r>
            <w:r w:rsidR="007278B4">
              <w:t>brand unavailable</w:t>
            </w:r>
            <w:r>
              <w:t>)</w:t>
            </w:r>
          </w:p>
        </w:tc>
        <w:tc>
          <w:tcPr>
            <w:tcW w:w="3780" w:type="dxa"/>
          </w:tcPr>
          <w:p w14:paraId="62CA972B" w14:textId="77777777" w:rsidR="00DD5876" w:rsidRPr="00DC0624" w:rsidRDefault="00DD5876" w:rsidP="00D61D7F">
            <w:pPr>
              <w:pStyle w:val="TableDataUnpadded"/>
            </w:pPr>
            <w:r>
              <w:t>flurazepam</w:t>
            </w:r>
          </w:p>
        </w:tc>
        <w:tc>
          <w:tcPr>
            <w:tcW w:w="3870" w:type="dxa"/>
          </w:tcPr>
          <w:p w14:paraId="11163B25" w14:textId="77777777" w:rsidR="00DD5876" w:rsidRDefault="00DD5876" w:rsidP="00D61D7F">
            <w:pPr>
              <w:pStyle w:val="TableDataUnpadded"/>
            </w:pPr>
            <w:r w:rsidRPr="00F907A1">
              <w:t>all</w:t>
            </w:r>
          </w:p>
        </w:tc>
      </w:tr>
      <w:tr w:rsidR="00DD5876" w:rsidRPr="00A2648C" w14:paraId="1B905A6D" w14:textId="77777777" w:rsidTr="00DD5876">
        <w:trPr>
          <w:cantSplit/>
        </w:trPr>
        <w:tc>
          <w:tcPr>
            <w:tcW w:w="3120" w:type="dxa"/>
          </w:tcPr>
          <w:p w14:paraId="7E920758" w14:textId="77777777" w:rsidR="00DD5876" w:rsidRDefault="00DD5876" w:rsidP="00D61D7F">
            <w:pPr>
              <w:pStyle w:val="TableDataUnpadded"/>
            </w:pPr>
            <w:r>
              <w:t>Halcion</w:t>
            </w:r>
          </w:p>
        </w:tc>
        <w:tc>
          <w:tcPr>
            <w:tcW w:w="3780" w:type="dxa"/>
          </w:tcPr>
          <w:p w14:paraId="4330A3DE" w14:textId="77777777" w:rsidR="00DD5876" w:rsidRPr="00DC0624" w:rsidRDefault="00DD5876" w:rsidP="00D61D7F">
            <w:pPr>
              <w:pStyle w:val="TableDataUnpadded"/>
            </w:pPr>
            <w:r w:rsidRPr="00A2648C">
              <w:t>triazolam</w:t>
            </w:r>
          </w:p>
        </w:tc>
        <w:tc>
          <w:tcPr>
            <w:tcW w:w="3870" w:type="dxa"/>
          </w:tcPr>
          <w:p w14:paraId="3C0B60E1" w14:textId="77777777" w:rsidR="00DD5876" w:rsidRPr="00A2648C" w:rsidRDefault="00DD5876" w:rsidP="00D61D7F">
            <w:pPr>
              <w:pStyle w:val="TableDataUnpadded"/>
            </w:pPr>
            <w:r>
              <w:t>all</w:t>
            </w:r>
          </w:p>
        </w:tc>
      </w:tr>
      <w:tr w:rsidR="00DD5876" w:rsidRPr="003C7FE1" w14:paraId="1B4F9F82" w14:textId="77777777" w:rsidTr="00DD5876">
        <w:trPr>
          <w:cantSplit/>
        </w:trPr>
        <w:tc>
          <w:tcPr>
            <w:tcW w:w="3120" w:type="dxa"/>
          </w:tcPr>
          <w:p w14:paraId="0BE9D467" w14:textId="77777777" w:rsidR="00DD5876" w:rsidRDefault="00DD5876" w:rsidP="00D61D7F">
            <w:pPr>
              <w:pStyle w:val="TableDataUnpadded"/>
            </w:pPr>
            <w:r>
              <w:t>Lunesta</w:t>
            </w:r>
          </w:p>
        </w:tc>
        <w:tc>
          <w:tcPr>
            <w:tcW w:w="3780" w:type="dxa"/>
          </w:tcPr>
          <w:p w14:paraId="24862DDD" w14:textId="77777777" w:rsidR="00DD5876" w:rsidRPr="00DC0624" w:rsidRDefault="00DD5876" w:rsidP="00D61D7F">
            <w:pPr>
              <w:pStyle w:val="TableDataUnpadded"/>
            </w:pPr>
            <w:r w:rsidRPr="003C7FE1">
              <w:t>eszopiclone</w:t>
            </w:r>
          </w:p>
        </w:tc>
        <w:tc>
          <w:tcPr>
            <w:tcW w:w="3870" w:type="dxa"/>
          </w:tcPr>
          <w:p w14:paraId="4A9A44D6" w14:textId="77777777" w:rsidR="00DD5876" w:rsidRPr="003C7FE1" w:rsidRDefault="00DD5876" w:rsidP="00D61D7F">
            <w:pPr>
              <w:pStyle w:val="TableDataUnpadded"/>
            </w:pPr>
            <w:r>
              <w:t>all</w:t>
            </w:r>
          </w:p>
        </w:tc>
      </w:tr>
      <w:tr w:rsidR="00DD5876" w:rsidRPr="00635D10" w14:paraId="2409B2FA" w14:textId="77777777" w:rsidTr="00DD5876">
        <w:trPr>
          <w:cantSplit/>
        </w:trPr>
        <w:tc>
          <w:tcPr>
            <w:tcW w:w="3120" w:type="dxa"/>
          </w:tcPr>
          <w:p w14:paraId="58A708EE" w14:textId="77777777" w:rsidR="00DD5876" w:rsidRDefault="00DD5876" w:rsidP="00D61D7F">
            <w:pPr>
              <w:pStyle w:val="TableDataUnpadded"/>
            </w:pPr>
            <w:r w:rsidRPr="00470A2C">
              <w:t>R</w:t>
            </w:r>
            <w:r>
              <w:t>estoril</w:t>
            </w:r>
          </w:p>
        </w:tc>
        <w:tc>
          <w:tcPr>
            <w:tcW w:w="3780" w:type="dxa"/>
          </w:tcPr>
          <w:p w14:paraId="1B0E6FF9" w14:textId="77777777" w:rsidR="00DD5876" w:rsidRPr="00DC0624" w:rsidRDefault="00DD5876" w:rsidP="00D61D7F">
            <w:pPr>
              <w:pStyle w:val="TableDataUnpadded"/>
            </w:pPr>
            <w:r w:rsidRPr="00635D10">
              <w:t>temazepam</w:t>
            </w:r>
          </w:p>
        </w:tc>
        <w:tc>
          <w:tcPr>
            <w:tcW w:w="3870" w:type="dxa"/>
          </w:tcPr>
          <w:p w14:paraId="13EA714F" w14:textId="77777777" w:rsidR="00DD5876" w:rsidRPr="00635D10" w:rsidRDefault="00DD5876" w:rsidP="00D61D7F">
            <w:pPr>
              <w:pStyle w:val="TableDataUnpadded"/>
            </w:pPr>
            <w:r>
              <w:t>all</w:t>
            </w:r>
          </w:p>
        </w:tc>
      </w:tr>
      <w:tr w:rsidR="00DD5876" w:rsidRPr="00401DB2" w14:paraId="3733F356" w14:textId="77777777" w:rsidTr="00DD5876">
        <w:trPr>
          <w:cantSplit/>
        </w:trPr>
        <w:tc>
          <w:tcPr>
            <w:tcW w:w="3120" w:type="dxa"/>
          </w:tcPr>
          <w:p w14:paraId="2323DB0B" w14:textId="77777777" w:rsidR="00DD5876" w:rsidRDefault="00DD5876" w:rsidP="00D61D7F">
            <w:pPr>
              <w:pStyle w:val="TableDataUnpadded"/>
            </w:pPr>
            <w:r>
              <w:t>Rozerem</w:t>
            </w:r>
          </w:p>
        </w:tc>
        <w:tc>
          <w:tcPr>
            <w:tcW w:w="3780" w:type="dxa"/>
          </w:tcPr>
          <w:p w14:paraId="3196EDA5" w14:textId="77777777" w:rsidR="00DD5876" w:rsidRPr="00DC0624" w:rsidRDefault="00DD5876" w:rsidP="00D61D7F">
            <w:pPr>
              <w:pStyle w:val="TableDataUnpadded"/>
            </w:pPr>
            <w:r>
              <w:t>r</w:t>
            </w:r>
            <w:r w:rsidRPr="00401DB2">
              <w:t>amelteon</w:t>
            </w:r>
          </w:p>
        </w:tc>
        <w:tc>
          <w:tcPr>
            <w:tcW w:w="3870" w:type="dxa"/>
          </w:tcPr>
          <w:p w14:paraId="062792B6" w14:textId="77777777" w:rsidR="00DD5876" w:rsidRPr="00401DB2" w:rsidRDefault="00DD5876" w:rsidP="00D61D7F">
            <w:pPr>
              <w:pStyle w:val="TableDataUnpadded"/>
            </w:pPr>
            <w:r>
              <w:t>all</w:t>
            </w:r>
          </w:p>
        </w:tc>
      </w:tr>
      <w:tr w:rsidR="00DD5876" w14:paraId="7FE6D6B7" w14:textId="77777777" w:rsidTr="00DD5876">
        <w:trPr>
          <w:cantSplit/>
        </w:trPr>
        <w:tc>
          <w:tcPr>
            <w:tcW w:w="3120" w:type="dxa"/>
          </w:tcPr>
          <w:p w14:paraId="5F0AEBF4" w14:textId="4B295312" w:rsidR="00DD5876" w:rsidRDefault="00DD5876" w:rsidP="00D61D7F">
            <w:pPr>
              <w:pStyle w:val="TableDataUnpadded"/>
            </w:pPr>
            <w:r w:rsidRPr="007F7658">
              <w:t>zaleplon</w:t>
            </w:r>
            <w:r>
              <w:t xml:space="preserve"> (</w:t>
            </w:r>
            <w:r w:rsidR="007278B4">
              <w:t>brand unavailable</w:t>
            </w:r>
            <w:r>
              <w:t>)</w:t>
            </w:r>
          </w:p>
        </w:tc>
        <w:tc>
          <w:tcPr>
            <w:tcW w:w="3780" w:type="dxa"/>
          </w:tcPr>
          <w:p w14:paraId="410AD4F2" w14:textId="77777777" w:rsidR="00DD5876" w:rsidRPr="00401DB2" w:rsidRDefault="00DD5876" w:rsidP="00D61D7F">
            <w:pPr>
              <w:pStyle w:val="TableDataUnpadded"/>
            </w:pPr>
            <w:r>
              <w:t>zaleplon</w:t>
            </w:r>
          </w:p>
        </w:tc>
        <w:tc>
          <w:tcPr>
            <w:tcW w:w="3870" w:type="dxa"/>
          </w:tcPr>
          <w:p w14:paraId="57981191" w14:textId="77777777" w:rsidR="00DD5876" w:rsidRDefault="00DD5876" w:rsidP="00D61D7F">
            <w:pPr>
              <w:pStyle w:val="TableDataUnpadded"/>
            </w:pPr>
            <w:r>
              <w:t>all</w:t>
            </w:r>
          </w:p>
        </w:tc>
      </w:tr>
      <w:tr w:rsidR="00DD5876" w14:paraId="7828E6C7" w14:textId="77777777" w:rsidTr="00DD5876">
        <w:trPr>
          <w:cantSplit/>
        </w:trPr>
        <w:tc>
          <w:tcPr>
            <w:tcW w:w="3120" w:type="dxa"/>
          </w:tcPr>
          <w:p w14:paraId="55C83206" w14:textId="703A5F45" w:rsidR="00DD5876" w:rsidRDefault="007278B4" w:rsidP="00D61D7F">
            <w:pPr>
              <w:pStyle w:val="TableDataUnpadded"/>
            </w:pPr>
            <w:r>
              <w:t>Z</w:t>
            </w:r>
            <w:r w:rsidR="00DD5876" w:rsidRPr="007F7658">
              <w:t xml:space="preserve">olpidem </w:t>
            </w:r>
            <w:r>
              <w:t>T</w:t>
            </w:r>
            <w:r w:rsidR="00DD5876" w:rsidRPr="007F7658">
              <w:t>artrate</w:t>
            </w:r>
          </w:p>
        </w:tc>
        <w:tc>
          <w:tcPr>
            <w:tcW w:w="3780" w:type="dxa"/>
          </w:tcPr>
          <w:p w14:paraId="7C3400A5" w14:textId="77777777" w:rsidR="00DD5876" w:rsidRPr="00401DB2" w:rsidRDefault="00DD5876" w:rsidP="00D61D7F">
            <w:pPr>
              <w:pStyle w:val="TableDataUnpadded"/>
            </w:pPr>
            <w:r>
              <w:t>zolpidem tartrate</w:t>
            </w:r>
          </w:p>
        </w:tc>
        <w:tc>
          <w:tcPr>
            <w:tcW w:w="3870" w:type="dxa"/>
          </w:tcPr>
          <w:p w14:paraId="7209AC6E" w14:textId="77777777" w:rsidR="00DD5876" w:rsidRDefault="00DD5876" w:rsidP="00D61D7F">
            <w:pPr>
              <w:pStyle w:val="TableDataUnpadded"/>
            </w:pPr>
            <w:r>
              <w:t>capsules</w:t>
            </w:r>
          </w:p>
        </w:tc>
      </w:tr>
    </w:tbl>
    <w:p w14:paraId="3E720A52" w14:textId="0860900B" w:rsidR="00C27C2D" w:rsidRDefault="00C27C2D" w:rsidP="00A8147D">
      <w:pPr>
        <w:pStyle w:val="Heading2"/>
        <w:tabs>
          <w:tab w:val="left" w:pos="10005"/>
        </w:tabs>
      </w:pPr>
      <w:r>
        <w:lastRenderedPageBreak/>
        <w:t>Indications</w:t>
      </w:r>
    </w:p>
    <w:p w14:paraId="3C2D9FE1" w14:textId="661493AC" w:rsidR="00A8147D" w:rsidRPr="00BD1CC1" w:rsidRDefault="00A8147D" w:rsidP="00C27C2D">
      <w:pPr>
        <w:pStyle w:val="Heading3"/>
      </w:pPr>
      <w:r w:rsidRPr="00BD1CC1">
        <w:t>FDA-approved Indications</w:t>
      </w:r>
    </w:p>
    <w:p w14:paraId="3D5B40B9" w14:textId="77777777" w:rsidR="00A8147D" w:rsidRDefault="00A8147D" w:rsidP="00C27C2D">
      <w:pPr>
        <w:pStyle w:val="Heading4"/>
      </w:pPr>
      <w:r>
        <w:t>Ambien</w:t>
      </w:r>
    </w:p>
    <w:p w14:paraId="70CEC5B5" w14:textId="77777777" w:rsidR="00A8147D" w:rsidRPr="00D14248" w:rsidRDefault="00A8147D" w:rsidP="00A8147D">
      <w:pPr>
        <w:pStyle w:val="BodyText"/>
      </w:pPr>
      <w:r w:rsidRPr="00D14248">
        <w:t>Ambien (zolpidem tartrate) is indicated for the short-term treatment of insomnia characterized by difficulties with sleep initiation. Ambien has been shown to decrease sleep latency for up to 35 days in controlled clinical studies.</w:t>
      </w:r>
    </w:p>
    <w:p w14:paraId="47839C0D" w14:textId="77777777" w:rsidR="00A8147D" w:rsidRPr="00D14248" w:rsidRDefault="00A8147D" w:rsidP="00A8147D">
      <w:pPr>
        <w:pStyle w:val="BodyText"/>
      </w:pPr>
      <w:r w:rsidRPr="00D14248">
        <w:t>The clinical trials performed in support of efficacy were 4-5 weeks in duration with the final formal assessments of sleep latency performed at the end of treatment.</w:t>
      </w:r>
    </w:p>
    <w:p w14:paraId="1F067CC3" w14:textId="77777777" w:rsidR="00A8147D" w:rsidRDefault="00A8147D" w:rsidP="00C27C2D">
      <w:pPr>
        <w:pStyle w:val="Heading4"/>
      </w:pPr>
      <w:r>
        <w:t>Ambien CR</w:t>
      </w:r>
    </w:p>
    <w:p w14:paraId="56ECF6BE" w14:textId="77777777" w:rsidR="00A8147D" w:rsidRDefault="00A8147D" w:rsidP="00A8147D">
      <w:pPr>
        <w:pStyle w:val="BodyText"/>
      </w:pPr>
      <w:r>
        <w:t>Ambien CR (zolpidem tartrate extended-release tablets) is indicated for the short-term treatment of insomnia characterized by difficulties with sleep onset and/or sleep maintenance (as measured by wake time after sleep onset).</w:t>
      </w:r>
    </w:p>
    <w:p w14:paraId="5BC2AFD0" w14:textId="77777777" w:rsidR="00A8147D" w:rsidRDefault="00A8147D" w:rsidP="00A8147D">
      <w:pPr>
        <w:pStyle w:val="BodyText"/>
      </w:pPr>
      <w:r>
        <w:t>The clinical trials performed in support of efficacy were up to 3 weeks (using polysomnography measurement up to 2 weeks in both adult and elderly patients) and 24 weeks (using patient-reported assessment in adult patients only) in duration.</w:t>
      </w:r>
    </w:p>
    <w:p w14:paraId="56DFA1C4" w14:textId="2CF1DBEE" w:rsidR="00A8147D" w:rsidRDefault="00A8147D" w:rsidP="00C27C2D">
      <w:pPr>
        <w:pStyle w:val="Heading4"/>
      </w:pPr>
      <w:r>
        <w:t>Doral</w:t>
      </w:r>
    </w:p>
    <w:p w14:paraId="5C4DC8EC" w14:textId="77777777" w:rsidR="00A8147D" w:rsidRDefault="00A8147D" w:rsidP="00A8147D">
      <w:pPr>
        <w:pStyle w:val="BodyText"/>
      </w:pPr>
      <w:r>
        <w:t>Doral is indicated for the treatment of insomnia characterized by difficulty in falling asleep, frequent nocturnal awakenings, and/or early morning awakenings. The effectiveness of Doral has been established in placebo-controlled clinical studies of 5 nights duration in acute and chronic insomnia. The sustained effectiveness of Doral has been established in chronic insomnia in a sleep lab (polysomnographic) study of 28 nights duration. Because insomnia is often transient and intermittent, the prolonged administration of Doral Tablets is generally not necessary or recommended. Since insomnia may be a symptom of several other disorders, the possibility that the complaint may be related to a condition for which there is a more specific treatment should be considered.</w:t>
      </w:r>
    </w:p>
    <w:p w14:paraId="2F21F514" w14:textId="77777777" w:rsidR="00A8147D" w:rsidRDefault="00A8147D" w:rsidP="00C27C2D">
      <w:pPr>
        <w:pStyle w:val="Heading4"/>
      </w:pPr>
      <w:r>
        <w:t>Estazolam</w:t>
      </w:r>
    </w:p>
    <w:p w14:paraId="44C3D6F5" w14:textId="558EFE18" w:rsidR="00A8147D" w:rsidRDefault="00A8147D" w:rsidP="00A8147D">
      <w:pPr>
        <w:pStyle w:val="BodyText"/>
      </w:pPr>
      <w:r>
        <w:t>Estazolam is indicated for the short-term management of insomnia characterized by difficulty in falling asleep, frequent nocturnal awakenings, and/or early morning awakenings. Both outpatient studies and a sleep laboratory study have shown that estazolam administered at bedtime improved sleep induction and sleep maintenance.</w:t>
      </w:r>
    </w:p>
    <w:p w14:paraId="281A54EA" w14:textId="69B6C73E" w:rsidR="00A8147D" w:rsidRDefault="00A8147D" w:rsidP="00A8147D">
      <w:pPr>
        <w:pStyle w:val="BodyText"/>
      </w:pPr>
      <w:r>
        <w:t>Because insomnia is often transient and intermittent, the prolonged administration of estazolam is generally neither necessary nor recommended. Since insomnia may be a symptom of several other disorders, the possibility that the complaint may be related to a condition for which there is a more specific treatment should be considered.</w:t>
      </w:r>
    </w:p>
    <w:p w14:paraId="15385BAB" w14:textId="77777777" w:rsidR="00A8147D" w:rsidRDefault="00A8147D" w:rsidP="00A8147D">
      <w:pPr>
        <w:pStyle w:val="BodyText"/>
      </w:pPr>
      <w:r>
        <w:lastRenderedPageBreak/>
        <w:t>There is evidence to support the ability of estazolam to enhance the duration and quality of sleep for intervals up to 12 weeks.</w:t>
      </w:r>
    </w:p>
    <w:p w14:paraId="2E216D9D" w14:textId="77777777" w:rsidR="00A8147D" w:rsidRDefault="00A8147D" w:rsidP="00C27C2D">
      <w:pPr>
        <w:pStyle w:val="Heading4"/>
      </w:pPr>
      <w:r>
        <w:t>Flurazepam</w:t>
      </w:r>
    </w:p>
    <w:p w14:paraId="5376E63E" w14:textId="24067E46" w:rsidR="00A8147D" w:rsidRDefault="00A8147D" w:rsidP="00A8147D">
      <w:pPr>
        <w:pStyle w:val="BodyText"/>
      </w:pPr>
      <w:r>
        <w:t>Flurazepam hydrochloride capsules are indicated for the treatment of insomnia characterized by difficulty in falling asleep, frequent nocturnal awakenings, and/or early morning awakenings.</w:t>
      </w:r>
    </w:p>
    <w:p w14:paraId="136BB9EF" w14:textId="77777777" w:rsidR="00A8147D" w:rsidRDefault="00A8147D" w:rsidP="00A8147D">
      <w:pPr>
        <w:pStyle w:val="BodyText"/>
      </w:pPr>
      <w:r>
        <w:t>Since insomnia is often transient and intermittent, short-term use is usually sufficient. Prolonged use of hypnotics is usually not indicated and should only be undertaken concomitantly with appropriate evaluation of the patient.</w:t>
      </w:r>
    </w:p>
    <w:p w14:paraId="26C8BE66" w14:textId="77777777" w:rsidR="00A8147D" w:rsidRDefault="00A8147D" w:rsidP="00C27C2D">
      <w:pPr>
        <w:pStyle w:val="Heading4"/>
      </w:pPr>
      <w:r>
        <w:t>Halcion</w:t>
      </w:r>
    </w:p>
    <w:p w14:paraId="7E3D07D9" w14:textId="28271AB9" w:rsidR="00A8147D" w:rsidRDefault="00A8147D" w:rsidP="00A8147D">
      <w:pPr>
        <w:pStyle w:val="BodyText"/>
      </w:pPr>
      <w:r>
        <w:t>Halcion is indicated for the short-term treatment of insomnia (generally 7 to 10 days) in adults.</w:t>
      </w:r>
    </w:p>
    <w:p w14:paraId="066303E6" w14:textId="77777777" w:rsidR="00A8147D" w:rsidRDefault="00A8147D" w:rsidP="00C27C2D">
      <w:pPr>
        <w:pStyle w:val="Heading4"/>
      </w:pPr>
      <w:r>
        <w:t>Lunesta</w:t>
      </w:r>
    </w:p>
    <w:p w14:paraId="1F994FF8" w14:textId="7F38F622" w:rsidR="00A8147D" w:rsidRDefault="00A8147D" w:rsidP="00A8147D">
      <w:pPr>
        <w:pStyle w:val="BodyText"/>
      </w:pPr>
      <w:r>
        <w:t>Lunesta (eszopiclone) is indicated for the treatment of insomnia. In controlled outpatient and sleep laboratory studies, Lunesta administered at bedtime decreased sleep latency and improved sleep maintenance.</w:t>
      </w:r>
    </w:p>
    <w:p w14:paraId="579DA686" w14:textId="474768C4" w:rsidR="00A8147D" w:rsidRDefault="00A8147D" w:rsidP="00A8147D">
      <w:pPr>
        <w:pStyle w:val="BodyText"/>
      </w:pPr>
      <w:r>
        <w:t>The clinical trials performed in support of efficacy were up to 6 months in duration. The final formal assessments of sleep latency and maintenance were performed at 4 weeks in the 6-week study (adults only), at the end of both 2-week studies (elderly only) and at the end of the 6-month study (adults only).</w:t>
      </w:r>
    </w:p>
    <w:p w14:paraId="560A3CD1" w14:textId="77777777" w:rsidR="00A8147D" w:rsidRDefault="00A8147D" w:rsidP="00C27C2D">
      <w:pPr>
        <w:pStyle w:val="Heading4"/>
      </w:pPr>
      <w:r>
        <w:t>Restoril</w:t>
      </w:r>
    </w:p>
    <w:p w14:paraId="61CC0B78" w14:textId="77777777" w:rsidR="00A8147D" w:rsidRDefault="00A8147D" w:rsidP="00A8147D">
      <w:pPr>
        <w:pStyle w:val="BodyText"/>
      </w:pPr>
      <w:r>
        <w:t>Restoril (temazepam) is indicated for the short-term treatment of insomnia (generally 7 to 10 days).</w:t>
      </w:r>
    </w:p>
    <w:p w14:paraId="6BE0E9DC" w14:textId="77777777" w:rsidR="00A8147D" w:rsidRDefault="00A8147D" w:rsidP="00A8147D">
      <w:pPr>
        <w:pStyle w:val="BodyText"/>
      </w:pPr>
      <w:r>
        <w:t>For patients with short-term insomnia, instructions in the prescription should indicate that Restoril (temazepam) should be used for short periods of time (7 to 10 days).</w:t>
      </w:r>
    </w:p>
    <w:p w14:paraId="2E789303" w14:textId="77777777" w:rsidR="00A8147D" w:rsidRDefault="00A8147D" w:rsidP="00A8147D">
      <w:pPr>
        <w:pStyle w:val="BodyText"/>
      </w:pPr>
      <w:r>
        <w:t>The clinical trials performed in support of efficacy were 2 weeks in duration with the final formal assessment of sleep latency performed at the end of treatment.</w:t>
      </w:r>
    </w:p>
    <w:p w14:paraId="62AC97C1" w14:textId="77777777" w:rsidR="00A8147D" w:rsidRDefault="00A8147D" w:rsidP="00C27C2D">
      <w:pPr>
        <w:pStyle w:val="Heading4"/>
      </w:pPr>
      <w:r>
        <w:t>Rozerem</w:t>
      </w:r>
    </w:p>
    <w:p w14:paraId="1246B3C3" w14:textId="198B0F22" w:rsidR="00A8147D" w:rsidRDefault="00A8147D" w:rsidP="00A8147D">
      <w:pPr>
        <w:pStyle w:val="BodyText"/>
      </w:pPr>
      <w:r>
        <w:t>Rozerem is indicated for the treatment of insomnia characterized by difficulty with sleep onset.</w:t>
      </w:r>
    </w:p>
    <w:p w14:paraId="3D6B01DA" w14:textId="77777777" w:rsidR="00A8147D" w:rsidRDefault="00A8147D" w:rsidP="00A8147D">
      <w:pPr>
        <w:pStyle w:val="BodyText"/>
      </w:pPr>
      <w:r>
        <w:t>The clinical trials performed in support of efficacy were up to six months in duration. The final formal assessments of sleep latency were performed after two days of treatment during the crossover study (elderly only), at five weeks in the six week studies (adults and elderly), and at the end of the six month study (adults and elderly).</w:t>
      </w:r>
    </w:p>
    <w:p w14:paraId="4D32E302" w14:textId="77777777" w:rsidR="00A8147D" w:rsidRDefault="00A8147D" w:rsidP="00C27C2D">
      <w:pPr>
        <w:pStyle w:val="Heading4"/>
      </w:pPr>
      <w:r>
        <w:t>Zaleplon</w:t>
      </w:r>
    </w:p>
    <w:p w14:paraId="343BA343" w14:textId="0A65C2E5" w:rsidR="00A8147D" w:rsidRDefault="00A8147D" w:rsidP="00A8147D">
      <w:pPr>
        <w:pStyle w:val="BodyText"/>
      </w:pPr>
      <w:r>
        <w:t xml:space="preserve">Zaleplon capsules are indicated for the short-term treatment of insomnia. Zaleplon capsules have been shown to decrease the time to sleep onset for up to 30 days in controlled clinical studies. </w:t>
      </w:r>
      <w:r w:rsidR="009F1EE0">
        <w:t>It has</w:t>
      </w:r>
      <w:r>
        <w:t xml:space="preserve"> not been shown to increase total sleep time or decrease the number of awakenings.</w:t>
      </w:r>
    </w:p>
    <w:p w14:paraId="6EF30B84" w14:textId="77777777" w:rsidR="00A8147D" w:rsidRDefault="00A8147D" w:rsidP="00A8147D">
      <w:pPr>
        <w:pStyle w:val="BodyText"/>
      </w:pPr>
      <w:r>
        <w:lastRenderedPageBreak/>
        <w:t>The clinical trials performed in support of efficacy ranged from a single night to 5 weeks in duration. The final formal assessments of sleep latency were performed at the end of treatment.</w:t>
      </w:r>
    </w:p>
    <w:p w14:paraId="7D0DC069" w14:textId="77777777" w:rsidR="00A8147D" w:rsidRDefault="00A8147D" w:rsidP="00C27C2D">
      <w:pPr>
        <w:pStyle w:val="Heading4"/>
      </w:pPr>
      <w:r>
        <w:t>Zolpidem Tartrate Capsules</w:t>
      </w:r>
    </w:p>
    <w:p w14:paraId="5E8F57F1" w14:textId="139B66EC" w:rsidR="00A8147D" w:rsidRDefault="00A8147D" w:rsidP="00A8147D">
      <w:pPr>
        <w:pStyle w:val="BodyText"/>
      </w:pPr>
      <w:r>
        <w:t>Zolpidem Tartrate Capsules are indicated for the short-term treatment of transient insomnia characterized by difficulties with sleep initiation in adults younger than 65 years of age.</w:t>
      </w:r>
    </w:p>
    <w:p w14:paraId="50A38FBA" w14:textId="484C83BA" w:rsidR="00FE0C63" w:rsidRDefault="00685107" w:rsidP="00E050E1">
      <w:pPr>
        <w:pStyle w:val="Heading2"/>
        <w:rPr>
          <w:color w:val="C00000"/>
        </w:rPr>
      </w:pPr>
      <w:r>
        <w:t>Coverage Criteria</w:t>
      </w:r>
    </w:p>
    <w:p w14:paraId="73A22FF2" w14:textId="77777777" w:rsidR="009F256E" w:rsidRPr="00646429" w:rsidRDefault="009F256E" w:rsidP="009F256E">
      <w:pPr>
        <w:pStyle w:val="Heading3"/>
      </w:pPr>
      <w:r w:rsidRPr="00646429">
        <w:t>Insomnia</w:t>
      </w:r>
    </w:p>
    <w:p w14:paraId="30164882" w14:textId="77777777" w:rsidR="009F256E" w:rsidRDefault="009F256E" w:rsidP="009F256E">
      <w:pPr>
        <w:pStyle w:val="BodyText"/>
      </w:pPr>
      <w:bookmarkStart w:id="0" w:name="_Hlk161388141"/>
      <w:r w:rsidRPr="10305630">
        <w:t>Authorization may be granted when the requested drug is being prescribed for insomnia</w:t>
      </w:r>
      <w:r>
        <w:t xml:space="preserve"> when</w:t>
      </w:r>
      <w:r w:rsidRPr="10305630">
        <w:t xml:space="preserve"> the following criteria </w:t>
      </w:r>
      <w:r>
        <w:t>is</w:t>
      </w:r>
      <w:r w:rsidRPr="10305630">
        <w:t xml:space="preserve"> met:</w:t>
      </w:r>
    </w:p>
    <w:p w14:paraId="61E864C9" w14:textId="7CF28329" w:rsidR="009F256E" w:rsidRPr="009F256E" w:rsidRDefault="009F256E" w:rsidP="001F5B54">
      <w:pPr>
        <w:pStyle w:val="ListParagraph"/>
      </w:pPr>
      <w:bookmarkStart w:id="1" w:name="_Hlk161388171"/>
      <w:r w:rsidRPr="009F256E">
        <w:t xml:space="preserve">Potential </w:t>
      </w:r>
      <w:r w:rsidR="007C6B30">
        <w:t xml:space="preserve">factors contributing to </w:t>
      </w:r>
      <w:r w:rsidRPr="009F256E" w:rsidDel="00A81BE1">
        <w:t>sleep disturbances have been addressed or are currently being addressed (e.g., inappropriate sleep hygiene and sleep environment issues or treatable medical/psychological causes of chronic insomnia</w:t>
      </w:r>
      <w:r w:rsidRPr="009F256E">
        <w:t>)</w:t>
      </w:r>
      <w:r w:rsidR="00692490">
        <w:t>.</w:t>
      </w:r>
    </w:p>
    <w:bookmarkEnd w:id="0"/>
    <w:bookmarkEnd w:id="1"/>
    <w:p w14:paraId="6D4547A5" w14:textId="3AD0BEF0" w:rsidR="009F256E" w:rsidRDefault="009F256E" w:rsidP="00370DC5">
      <w:pPr>
        <w:pStyle w:val="Heading2"/>
      </w:pPr>
      <w:r>
        <w:t xml:space="preserve">Quantity Limits </w:t>
      </w:r>
      <w:r w:rsidR="006508DC">
        <w:t>A</w:t>
      </w:r>
      <w:r>
        <w:t>pply</w:t>
      </w:r>
    </w:p>
    <w:p w14:paraId="15DA733D" w14:textId="43632299" w:rsidR="009F256E" w:rsidRDefault="009F256E" w:rsidP="007278B4">
      <w:pPr>
        <w:pStyle w:val="BodyText"/>
      </w:pPr>
      <w:r>
        <w:t>Ambien, Ambien CR, Lunesta, Rozerem: 30 tablets per 25 days or 90 tablets per 75 days</w:t>
      </w:r>
    </w:p>
    <w:p w14:paraId="7883AD05" w14:textId="3FB26598" w:rsidR="009F256E" w:rsidRDefault="009F256E" w:rsidP="007278B4">
      <w:pPr>
        <w:pStyle w:val="BodyText"/>
      </w:pPr>
      <w:r>
        <w:t>Zolpidem tartrate capsules: 30 capsules per 25 days or 90 capsules per 75 days</w:t>
      </w:r>
    </w:p>
    <w:p w14:paraId="6E918C0E" w14:textId="525828D4" w:rsidR="009F256E" w:rsidRDefault="009F256E" w:rsidP="007278B4">
      <w:pPr>
        <w:pStyle w:val="BodyText"/>
      </w:pPr>
      <w:r>
        <w:t>Zaleplon: 60 capsules per 25 days or 180 capsules per 75 days</w:t>
      </w:r>
    </w:p>
    <w:p w14:paraId="60B6DD03" w14:textId="1B23353E" w:rsidR="009F256E" w:rsidRDefault="009F256E" w:rsidP="00DD6D32">
      <w:pPr>
        <w:pStyle w:val="BodyText"/>
      </w:pPr>
      <w:r w:rsidRPr="00E84135">
        <w:t>The duration of 25 days is used for a 30-day fill period and 75 days is used for a 90-day fill period to allow time for refill processing.</w:t>
      </w:r>
    </w:p>
    <w:p w14:paraId="1B06CDE8" w14:textId="362AAB57" w:rsidR="00060947" w:rsidRDefault="009F256E" w:rsidP="00EC586B">
      <w:pPr>
        <w:pStyle w:val="BodyText"/>
      </w:pPr>
      <w:r>
        <w:t xml:space="preserve">There is a lack of data supporting </w:t>
      </w:r>
      <w:r w:rsidRPr="00EC586B">
        <w:t>benzodiazepines</w:t>
      </w:r>
      <w:r>
        <w:t xml:space="preserve"> for long-term management of insomnia; therefore, no post limit quantities will be available for Doral, estazolam, flurazepam, Halcion, and Restoril.</w:t>
      </w:r>
    </w:p>
    <w:p w14:paraId="0F10BE3E" w14:textId="0EF18600" w:rsidR="009F256E" w:rsidRDefault="009F256E" w:rsidP="00370DC5">
      <w:pPr>
        <w:pStyle w:val="Heading2"/>
      </w:pPr>
      <w:r>
        <w:t>Duration of Approval (DOA)</w:t>
      </w:r>
    </w:p>
    <w:p w14:paraId="554B6E8F" w14:textId="62AE5F27" w:rsidR="00B836B0" w:rsidRDefault="003A7705" w:rsidP="007278B4">
      <w:pPr>
        <w:pStyle w:val="ListParagraph"/>
        <w:numPr>
          <w:ilvl w:val="0"/>
          <w:numId w:val="29"/>
        </w:numPr>
      </w:pPr>
      <w:r>
        <w:t>915</w:t>
      </w:r>
      <w:r w:rsidR="009F256E">
        <w:t>-J: DOA: 6 months</w:t>
      </w:r>
    </w:p>
    <w:p w14:paraId="10DA4309" w14:textId="5C5B0FC7" w:rsidR="00FF66BF" w:rsidRPr="008D1B34" w:rsidRDefault="00FF66BF" w:rsidP="00FF66BF">
      <w:pPr>
        <w:pStyle w:val="Heading2"/>
      </w:pPr>
      <w:r w:rsidRPr="008D1B34">
        <w:t>References</w:t>
      </w:r>
    </w:p>
    <w:p w14:paraId="4C8E01C7" w14:textId="77777777" w:rsidR="0060409D" w:rsidRDefault="0060409D" w:rsidP="00370DC5">
      <w:pPr>
        <w:pStyle w:val="ReferenceOrdered"/>
        <w:ind w:left="360"/>
      </w:pPr>
      <w:r>
        <w:t>Ambien [package insert]. Bridgewater, NJ: sanofi-aventis U.S. LLC; February 2022.</w:t>
      </w:r>
    </w:p>
    <w:p w14:paraId="7EE70DC6" w14:textId="77777777" w:rsidR="0060409D" w:rsidRDefault="0060409D" w:rsidP="00370DC5">
      <w:pPr>
        <w:pStyle w:val="ReferenceOrdered"/>
        <w:ind w:left="360"/>
      </w:pPr>
      <w:r>
        <w:t>Ambien CR [package insert]. Bridgewater, NJ: sanofi-aventis U.S. LLC; February 2022.</w:t>
      </w:r>
    </w:p>
    <w:p w14:paraId="01086702" w14:textId="77777777" w:rsidR="0060409D" w:rsidRDefault="0060409D" w:rsidP="00370DC5">
      <w:pPr>
        <w:pStyle w:val="ReferenceOrdered"/>
        <w:ind w:left="360"/>
      </w:pPr>
      <w:r>
        <w:lastRenderedPageBreak/>
        <w:t>Doral [package insert]. Atlanta, GA: Galt Pharmaceuticals, LLC.; January 2023.</w:t>
      </w:r>
    </w:p>
    <w:p w14:paraId="3A6477CA" w14:textId="68AFE4DC" w:rsidR="0060409D" w:rsidRDefault="0060409D" w:rsidP="00370DC5">
      <w:pPr>
        <w:pStyle w:val="ReferenceOrdered"/>
        <w:ind w:left="360"/>
      </w:pPr>
      <w:r>
        <w:t xml:space="preserve">Estazolam [package insert]. </w:t>
      </w:r>
      <w:r w:rsidR="003009A7">
        <w:t>Princeton, NJ</w:t>
      </w:r>
      <w:r>
        <w:t xml:space="preserve">: </w:t>
      </w:r>
      <w:r w:rsidR="003009A7">
        <w:t>Dr. Reddy’s Laboratories Inc.</w:t>
      </w:r>
      <w:r>
        <w:t xml:space="preserve">; </w:t>
      </w:r>
      <w:r w:rsidR="003009A7">
        <w:t xml:space="preserve">August </w:t>
      </w:r>
      <w:r>
        <w:t>202</w:t>
      </w:r>
      <w:r w:rsidR="003009A7">
        <w:t>3</w:t>
      </w:r>
      <w:r>
        <w:t>.</w:t>
      </w:r>
    </w:p>
    <w:p w14:paraId="3B5465D6" w14:textId="3EEBB0DA" w:rsidR="0060409D" w:rsidRDefault="0060409D" w:rsidP="00370DC5">
      <w:pPr>
        <w:pStyle w:val="ReferenceOrdered"/>
        <w:ind w:left="360"/>
      </w:pPr>
      <w:r>
        <w:t>Flurazepam Hydrochloride [package insert]. Congers, NY: Chartwell RX, LLC</w:t>
      </w:r>
      <w:r w:rsidR="00FF6FC5">
        <w:t>.</w:t>
      </w:r>
      <w:r>
        <w:t xml:space="preserve">; </w:t>
      </w:r>
      <w:r w:rsidR="003009A7">
        <w:t>Dec</w:t>
      </w:r>
      <w:r>
        <w:t>ember 2023.</w:t>
      </w:r>
    </w:p>
    <w:p w14:paraId="2FD3A5CC" w14:textId="726CE1CB" w:rsidR="0060409D" w:rsidRDefault="0060409D" w:rsidP="00370DC5">
      <w:pPr>
        <w:pStyle w:val="ReferenceOrdered"/>
        <w:ind w:left="360"/>
      </w:pPr>
      <w:r>
        <w:t>Halcion [package insert]. New York, NY: Pharmacia &amp; Upjohn Co</w:t>
      </w:r>
      <w:r w:rsidR="003009A7">
        <w:t>mpany LLC</w:t>
      </w:r>
      <w:r>
        <w:t xml:space="preserve">; </w:t>
      </w:r>
      <w:r w:rsidR="003009A7">
        <w:t xml:space="preserve">July </w:t>
      </w:r>
      <w:r>
        <w:t>202</w:t>
      </w:r>
      <w:r w:rsidR="003009A7">
        <w:t>4</w:t>
      </w:r>
      <w:r>
        <w:t>.</w:t>
      </w:r>
    </w:p>
    <w:p w14:paraId="658C61E4" w14:textId="77777777" w:rsidR="0060409D" w:rsidRDefault="0060409D" w:rsidP="00370DC5">
      <w:pPr>
        <w:pStyle w:val="ReferenceOrdered"/>
        <w:ind w:left="360"/>
      </w:pPr>
      <w:r>
        <w:t xml:space="preserve">Lunesta [package insert]. Wixom, MI: </w:t>
      </w:r>
      <w:proofErr w:type="spellStart"/>
      <w:r>
        <w:t>Waylis</w:t>
      </w:r>
      <w:proofErr w:type="spellEnd"/>
      <w:r>
        <w:t xml:space="preserve"> Therapeutics LLC; July 2023.</w:t>
      </w:r>
    </w:p>
    <w:p w14:paraId="55945F6A" w14:textId="77777777" w:rsidR="0060409D" w:rsidRDefault="0060409D" w:rsidP="00370DC5">
      <w:pPr>
        <w:pStyle w:val="ReferenceOrdered"/>
        <w:ind w:left="360"/>
      </w:pPr>
      <w:r>
        <w:t xml:space="preserve">Restoril [package insert]. Webster Groves, MO: </w:t>
      </w:r>
      <w:proofErr w:type="spellStart"/>
      <w:r>
        <w:t>SpecGx</w:t>
      </w:r>
      <w:proofErr w:type="spellEnd"/>
      <w:r>
        <w:t xml:space="preserve"> LLC; January 2023.</w:t>
      </w:r>
    </w:p>
    <w:p w14:paraId="381D3B74" w14:textId="77777777" w:rsidR="0060409D" w:rsidRDefault="0060409D" w:rsidP="00370DC5">
      <w:pPr>
        <w:pStyle w:val="ReferenceOrdered"/>
        <w:ind w:left="360"/>
      </w:pPr>
      <w:r>
        <w:t>Rozerem [package insert]. Lexington, MA: Takeda Pharmaceuticals America, Inc.; November 2021.</w:t>
      </w:r>
    </w:p>
    <w:p w14:paraId="547E91BA" w14:textId="6365793D" w:rsidR="0060409D" w:rsidRDefault="0060409D" w:rsidP="00370DC5">
      <w:pPr>
        <w:pStyle w:val="ReferenceOrdered"/>
        <w:ind w:left="360"/>
      </w:pPr>
      <w:r>
        <w:t xml:space="preserve">Zaleplon [package insert]. </w:t>
      </w:r>
      <w:r w:rsidR="003009A7">
        <w:t>Princeton</w:t>
      </w:r>
      <w:r>
        <w:t xml:space="preserve">, NJ: </w:t>
      </w:r>
      <w:proofErr w:type="spellStart"/>
      <w:r w:rsidR="003009A7">
        <w:t>Bionpharma</w:t>
      </w:r>
      <w:proofErr w:type="spellEnd"/>
      <w:r>
        <w:t xml:space="preserve"> Inc.; </w:t>
      </w:r>
      <w:r w:rsidR="003009A7">
        <w:t xml:space="preserve">June </w:t>
      </w:r>
      <w:r>
        <w:t>202</w:t>
      </w:r>
      <w:r w:rsidR="003009A7">
        <w:t>3</w:t>
      </w:r>
      <w:r>
        <w:t>.</w:t>
      </w:r>
    </w:p>
    <w:p w14:paraId="16A97C71" w14:textId="77777777" w:rsidR="0060409D" w:rsidRDefault="0060409D" w:rsidP="00370DC5">
      <w:pPr>
        <w:pStyle w:val="ReferenceOrdered"/>
        <w:ind w:left="360"/>
      </w:pPr>
      <w:r>
        <w:t xml:space="preserve">Zolpidem Tartrate Capsules [package insert]. Morristown, NJ: </w:t>
      </w:r>
      <w:proofErr w:type="spellStart"/>
      <w:r>
        <w:t>Almatica</w:t>
      </w:r>
      <w:proofErr w:type="spellEnd"/>
      <w:r>
        <w:t xml:space="preserve"> Pharma LLC; May 2023.</w:t>
      </w:r>
    </w:p>
    <w:p w14:paraId="7F17B5CB" w14:textId="2CC84650" w:rsidR="0060409D" w:rsidRDefault="0060409D" w:rsidP="00370DC5">
      <w:pPr>
        <w:pStyle w:val="ReferenceOrdered"/>
        <w:ind w:left="360"/>
      </w:pPr>
      <w:r>
        <w:t>Lexicomp Online, AHFS DI (Adult and Pediatric) Online. Waltham, MA: UpToDate, Inc.; 202</w:t>
      </w:r>
      <w:r w:rsidR="00CA41C7">
        <w:t>4</w:t>
      </w:r>
      <w:r>
        <w:t>. https://online.lexi.com. Accessed November 2</w:t>
      </w:r>
      <w:r w:rsidR="00CA41C7">
        <w:t>7</w:t>
      </w:r>
      <w:r>
        <w:t>, 202</w:t>
      </w:r>
      <w:r w:rsidR="00CA41C7">
        <w:t>4</w:t>
      </w:r>
      <w:r>
        <w:t>.</w:t>
      </w:r>
    </w:p>
    <w:p w14:paraId="4BA6162B" w14:textId="6195A736" w:rsidR="0060409D" w:rsidRDefault="0060409D" w:rsidP="00370DC5">
      <w:pPr>
        <w:pStyle w:val="ReferenceOrdered"/>
        <w:ind w:left="360"/>
      </w:pPr>
      <w:r>
        <w:t>Micromedex</w:t>
      </w:r>
      <w:r w:rsidR="00FF6FC5">
        <w:t>®</w:t>
      </w:r>
      <w:r>
        <w:t xml:space="preserve"> (electronic version). Merative, Ann Arbor, Michigan, USA. Available at: https://www.micromedexsolutions.com/ (cited: 11/2</w:t>
      </w:r>
      <w:r w:rsidR="00CA41C7">
        <w:t>6</w:t>
      </w:r>
      <w:r>
        <w:t>/202</w:t>
      </w:r>
      <w:r w:rsidR="00CA41C7">
        <w:t>4</w:t>
      </w:r>
      <w:r>
        <w:t>).</w:t>
      </w:r>
    </w:p>
    <w:p w14:paraId="458B480E" w14:textId="706A7291" w:rsidR="00082ADD" w:rsidRDefault="0060409D" w:rsidP="00370DC5">
      <w:pPr>
        <w:pStyle w:val="ReferenceOrdered"/>
        <w:ind w:left="360"/>
      </w:pPr>
      <w:proofErr w:type="spellStart"/>
      <w:r>
        <w:t>Sateia</w:t>
      </w:r>
      <w:proofErr w:type="spellEnd"/>
      <w:r>
        <w:t xml:space="preserve"> MJ, </w:t>
      </w:r>
      <w:proofErr w:type="spellStart"/>
      <w:r>
        <w:t>Buysse</w:t>
      </w:r>
      <w:proofErr w:type="spellEnd"/>
      <w:r>
        <w:t xml:space="preserve"> DJ, Krystal AD, et al. Clinical practice guideline for the pharmacologic treatment of chronic insomnia in adults: An American Academy of Sleep Medicine clinical practice guideline. J Clin Sleep Med. 2017;13(2):307-349.</w:t>
      </w:r>
    </w:p>
    <w:p w14:paraId="11DA9DAB" w14:textId="75183395" w:rsidR="00244969" w:rsidRDefault="00082ADD" w:rsidP="00082ADD">
      <w:pPr>
        <w:pStyle w:val="ReferenceOrdered"/>
        <w:ind w:left="360"/>
      </w:pPr>
      <w:r>
        <w:t xml:space="preserve">American Academy of Sleep Medicine. International Classification of Sleep Disorders, </w:t>
      </w:r>
      <w:r w:rsidR="00FF6FC5">
        <w:t xml:space="preserve">Third </w:t>
      </w:r>
      <w:r w:rsidR="0082130D">
        <w:t>E</w:t>
      </w:r>
      <w:r>
        <w:t xml:space="preserve">dition, </w:t>
      </w:r>
      <w:r w:rsidR="00FF6FC5">
        <w:t>T</w:t>
      </w:r>
      <w:r>
        <w:t xml:space="preserve">ext </w:t>
      </w:r>
      <w:r w:rsidR="00FF6FC5">
        <w:t>R</w:t>
      </w:r>
      <w:r>
        <w:t>evision. American Academy of Sleep Medicine, 2023.</w:t>
      </w:r>
    </w:p>
    <w:p w14:paraId="3F2F5FC7" w14:textId="0E7DF988" w:rsidR="0060409D" w:rsidRDefault="0060409D" w:rsidP="00370DC5">
      <w:pPr>
        <w:pStyle w:val="ReferenceOrdered"/>
        <w:ind w:left="360"/>
      </w:pPr>
      <w:r>
        <w:t xml:space="preserve">Edinger JD, </w:t>
      </w:r>
      <w:proofErr w:type="spellStart"/>
      <w:r>
        <w:t>Arnedt</w:t>
      </w:r>
      <w:proofErr w:type="spellEnd"/>
      <w:r>
        <w:t xml:space="preserve"> JT, </w:t>
      </w:r>
      <w:proofErr w:type="spellStart"/>
      <w:r>
        <w:t>Bertisch</w:t>
      </w:r>
      <w:proofErr w:type="spellEnd"/>
      <w:r>
        <w:t xml:space="preserve"> SM, et al. Behavioral and psychological treatments for chronic insomnia disorder in adults: an American Academy of Sleep Medicine clinical practice guideline. J Clin Sleep Med. 2021;17(2):255-262.</w:t>
      </w:r>
    </w:p>
    <w:p w14:paraId="294D6FE6" w14:textId="769ADF32" w:rsidR="006508DC" w:rsidRDefault="0060409D" w:rsidP="00370DC5">
      <w:pPr>
        <w:pStyle w:val="ReferenceOrdered"/>
        <w:ind w:left="360"/>
      </w:pPr>
      <w:proofErr w:type="spellStart"/>
      <w:r>
        <w:t>Crescenzo</w:t>
      </w:r>
      <w:proofErr w:type="spellEnd"/>
      <w:r>
        <w:t xml:space="preserve"> FD, </w:t>
      </w:r>
      <w:proofErr w:type="spellStart"/>
      <w:r>
        <w:t>D’Alo</w:t>
      </w:r>
      <w:proofErr w:type="spellEnd"/>
      <w:r>
        <w:t xml:space="preserve"> GL, </w:t>
      </w:r>
      <w:proofErr w:type="spellStart"/>
      <w:r>
        <w:t>Ostinelli</w:t>
      </w:r>
      <w:proofErr w:type="spellEnd"/>
      <w:r>
        <w:t xml:space="preserve"> EG, et al. Comparative effects of pharmacological interventions for the acute and long-term management of insomnia disorder in adults: a systematic review and network meta-analysis. Lancet. 2022;400:170-184</w:t>
      </w:r>
      <w:r w:rsidR="00713420">
        <w:t>.</w:t>
      </w:r>
    </w:p>
    <w:sectPr w:rsidR="006508DC" w:rsidSect="00172653">
      <w:type w:val="continuous"/>
      <w:pgSz w:w="12240" w:h="15840" w:code="1"/>
      <w:pgMar w:top="900" w:right="720" w:bottom="990"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B2A8C" w14:textId="77777777" w:rsidR="00DF183E" w:rsidRDefault="00DF183E">
      <w:r>
        <w:separator/>
      </w:r>
    </w:p>
  </w:endnote>
  <w:endnote w:type="continuationSeparator" w:id="0">
    <w:p w14:paraId="32FA9FCE" w14:textId="77777777" w:rsidR="00DF183E" w:rsidRDefault="00DF183E">
      <w:r>
        <w:continuationSeparator/>
      </w:r>
    </w:p>
  </w:endnote>
  <w:endnote w:type="continuationNotice" w:id="1">
    <w:p w14:paraId="22243FD4" w14:textId="77777777" w:rsidR="00DF183E" w:rsidRDefault="00DF18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C15C6" w14:textId="4F86C18F" w:rsidR="00E6274A" w:rsidRPr="00EC47B6" w:rsidRDefault="00E6274A" w:rsidP="00E6274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72653" w:rsidRPr="00172653">
      <w:rPr>
        <w:rFonts w:cs="Arial"/>
        <w:noProof/>
        <w:sz w:val="16"/>
        <w:szCs w:val="16"/>
      </w:rPr>
      <w:t>Insomnia</w:t>
    </w:r>
    <w:r w:rsidR="00172653">
      <w:rPr>
        <w:rFonts w:cs="Arial"/>
        <w:noProof/>
        <w:snapToGrid w:val="0"/>
        <w:color w:val="000000"/>
        <w:sz w:val="16"/>
        <w:szCs w:val="16"/>
      </w:rPr>
      <w:t xml:space="preserve"> Post Limit</w:t>
    </w:r>
    <w:r w:rsidR="00172653" w:rsidRPr="00172653">
      <w:rPr>
        <w:rFonts w:cs="Arial"/>
        <w:noProof/>
        <w:sz w:val="16"/>
        <w:szCs w:val="16"/>
      </w:rPr>
      <w:t xml:space="preserve"> PA</w:t>
    </w:r>
    <w:r w:rsidR="00172653">
      <w:rPr>
        <w:rFonts w:cs="Arial"/>
        <w:noProof/>
        <w:snapToGrid w:val="0"/>
        <w:color w:val="000000"/>
        <w:sz w:val="16"/>
        <w:szCs w:val="16"/>
      </w:rPr>
      <w:t xml:space="preserve"> 915-J P01-2025.docx</w:t>
    </w:r>
    <w:r w:rsidRPr="00EC47B6">
      <w:rPr>
        <w:rFonts w:cs="Arial"/>
        <w:noProof/>
        <w:sz w:val="16"/>
        <w:szCs w:val="16"/>
      </w:rPr>
      <w:fldChar w:fldCharType="end"/>
    </w:r>
    <w:r w:rsidRPr="00EC47B6">
      <w:rPr>
        <w:rFonts w:cs="Arial"/>
        <w:snapToGrid w:val="0"/>
        <w:color w:val="000000"/>
        <w:sz w:val="16"/>
      </w:rPr>
      <w:tab/>
      <w:t>© 202</w:t>
    </w:r>
    <w:r w:rsidR="009F1EE0">
      <w:rPr>
        <w:rFonts w:cs="Arial"/>
        <w:snapToGrid w:val="0"/>
        <w:color w:val="000000"/>
        <w:sz w:val="16"/>
      </w:rPr>
      <w:t>5</w:t>
    </w:r>
    <w:r w:rsidRPr="00EC47B6">
      <w:rPr>
        <w:rFonts w:cs="Arial"/>
        <w:snapToGrid w:val="0"/>
        <w:color w:val="000000"/>
        <w:sz w:val="16"/>
      </w:rPr>
      <w:t xml:space="preserve"> CVS Caremark. All rights reserved.</w:t>
    </w:r>
  </w:p>
  <w:p w14:paraId="109C4FAF" w14:textId="77777777" w:rsidR="00E6274A" w:rsidRPr="00EC47B6" w:rsidRDefault="00E6274A" w:rsidP="00E6274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28D32AF" w14:textId="1B6EE5B6" w:rsidR="00E6274A" w:rsidRDefault="00E6274A" w:rsidP="00370DC5">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4</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651E3" w14:textId="6DCED044" w:rsidR="00F26EB2" w:rsidRPr="00EC47B6" w:rsidRDefault="00F26EB2" w:rsidP="00F26EB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72653" w:rsidRPr="00172653">
      <w:rPr>
        <w:rFonts w:cs="Arial"/>
        <w:noProof/>
        <w:sz w:val="16"/>
        <w:szCs w:val="16"/>
      </w:rPr>
      <w:t>Insomnia</w:t>
    </w:r>
    <w:r w:rsidR="00172653">
      <w:rPr>
        <w:rFonts w:cs="Arial"/>
        <w:noProof/>
        <w:snapToGrid w:val="0"/>
        <w:color w:val="000000"/>
        <w:sz w:val="16"/>
        <w:szCs w:val="16"/>
      </w:rPr>
      <w:t xml:space="preserve"> Post Limit</w:t>
    </w:r>
    <w:r w:rsidR="00172653" w:rsidRPr="00172653">
      <w:rPr>
        <w:rFonts w:cs="Arial"/>
        <w:noProof/>
        <w:sz w:val="16"/>
        <w:szCs w:val="16"/>
      </w:rPr>
      <w:t xml:space="preserve"> PA</w:t>
    </w:r>
    <w:r w:rsidR="00172653">
      <w:rPr>
        <w:rFonts w:cs="Arial"/>
        <w:noProof/>
        <w:snapToGrid w:val="0"/>
        <w:color w:val="000000"/>
        <w:sz w:val="16"/>
        <w:szCs w:val="16"/>
      </w:rPr>
      <w:t xml:space="preserve"> 915-J P01-2025.docx</w:t>
    </w:r>
    <w:r w:rsidRPr="00EC47B6">
      <w:rPr>
        <w:rFonts w:cs="Arial"/>
        <w:noProof/>
        <w:sz w:val="16"/>
        <w:szCs w:val="16"/>
      </w:rPr>
      <w:fldChar w:fldCharType="end"/>
    </w:r>
    <w:r w:rsidRPr="00EC47B6">
      <w:rPr>
        <w:rFonts w:cs="Arial"/>
        <w:snapToGrid w:val="0"/>
        <w:color w:val="000000"/>
        <w:sz w:val="16"/>
      </w:rPr>
      <w:tab/>
      <w:t>© 202</w:t>
    </w:r>
    <w:r w:rsidR="007278B4">
      <w:rPr>
        <w:rFonts w:cs="Arial"/>
        <w:snapToGrid w:val="0"/>
        <w:color w:val="000000"/>
        <w:sz w:val="16"/>
      </w:rPr>
      <w:t>5</w:t>
    </w:r>
    <w:r w:rsidRPr="00EC47B6">
      <w:rPr>
        <w:rFonts w:cs="Arial"/>
        <w:snapToGrid w:val="0"/>
        <w:color w:val="000000"/>
        <w:sz w:val="16"/>
      </w:rPr>
      <w:t xml:space="preserve"> CVS Caremark. All rights reserved.</w:t>
    </w:r>
  </w:p>
  <w:p w14:paraId="39102E4F" w14:textId="77777777" w:rsidR="00F26EB2" w:rsidRPr="00EC47B6" w:rsidRDefault="00F26EB2" w:rsidP="00F26EB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06D1674" w14:textId="461D3669" w:rsidR="000F5383" w:rsidRPr="00F50D98" w:rsidRDefault="00F26EB2" w:rsidP="00370DC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BC3F5" w14:textId="77777777" w:rsidR="00DF183E" w:rsidRDefault="00DF183E">
      <w:r>
        <w:separator/>
      </w:r>
    </w:p>
  </w:footnote>
  <w:footnote w:type="continuationSeparator" w:id="0">
    <w:p w14:paraId="1841B1D9" w14:textId="77777777" w:rsidR="00DF183E" w:rsidRDefault="00DF183E">
      <w:r>
        <w:continuationSeparator/>
      </w:r>
    </w:p>
  </w:footnote>
  <w:footnote w:type="continuationNotice" w:id="1">
    <w:p w14:paraId="4D8C7D0C" w14:textId="77777777" w:rsidR="00DF183E" w:rsidRDefault="00DF18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26EB2" w:rsidRPr="00BD1CC1" w14:paraId="6BBBBEC5" w14:textId="77777777" w:rsidTr="00A71DC9">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D91306" w14:textId="77777777" w:rsidR="00F26EB2" w:rsidRPr="00EC47B6" w:rsidRDefault="00F26EB2" w:rsidP="00F26EB2">
          <w:pPr>
            <w:pStyle w:val="RefTableData"/>
          </w:pPr>
          <w:r w:rsidRPr="00F246C7">
            <w:t>Reference number(s</w:t>
          </w:r>
          <w:r w:rsidRPr="00EC47B6">
            <w:t>)</w:t>
          </w:r>
        </w:p>
      </w:tc>
    </w:tr>
    <w:tr w:rsidR="00F26EB2" w:rsidRPr="00BD1CC1" w14:paraId="39658037" w14:textId="77777777" w:rsidTr="00A71DC9">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C92737F" w14:textId="4D742040" w:rsidR="00F26EB2" w:rsidRPr="00FF66BF" w:rsidRDefault="00F26EB2" w:rsidP="00F26EB2">
          <w:pPr>
            <w:pStyle w:val="RefTableHeader"/>
          </w:pPr>
          <w:r w:rsidRPr="00292C93">
            <w:t>915-J</w:t>
          </w:r>
        </w:p>
      </w:tc>
    </w:tr>
  </w:tbl>
  <w:p w14:paraId="06CC0458" w14:textId="77777777" w:rsidR="00F26EB2" w:rsidRPr="007F0BD8" w:rsidRDefault="00F26EB2">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D00549"/>
    <w:multiLevelType w:val="hybridMultilevel"/>
    <w:tmpl w:val="F00EF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FCA3875"/>
    <w:multiLevelType w:val="hybridMultilevel"/>
    <w:tmpl w:val="2B1A1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E59B7"/>
    <w:multiLevelType w:val="singleLevel"/>
    <w:tmpl w:val="3000D604"/>
    <w:lvl w:ilvl="0">
      <w:start w:val="1"/>
      <w:numFmt w:val="decimal"/>
      <w:lvlText w:val="%1."/>
      <w:legacy w:legacy="1" w:legacySpace="0" w:legacyIndent="360"/>
      <w:lvlJc w:val="left"/>
      <w:pPr>
        <w:ind w:left="360" w:hanging="360"/>
      </w:p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4"/>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6"/>
  </w:num>
  <w:num w:numId="18" w16cid:durableId="299724409">
    <w:abstractNumId w:val="21"/>
  </w:num>
  <w:num w:numId="19" w16cid:durableId="214585573">
    <w:abstractNumId w:val="14"/>
  </w:num>
  <w:num w:numId="20" w16cid:durableId="1289816170">
    <w:abstractNumId w:val="15"/>
  </w:num>
  <w:num w:numId="21" w16cid:durableId="1066490929">
    <w:abstractNumId w:val="27"/>
  </w:num>
  <w:num w:numId="22" w16cid:durableId="1472481103">
    <w:abstractNumId w:val="23"/>
  </w:num>
  <w:num w:numId="23" w16cid:durableId="1997420403">
    <w:abstractNumId w:val="25"/>
  </w:num>
  <w:num w:numId="24" w16cid:durableId="33312838">
    <w:abstractNumId w:val="22"/>
  </w:num>
  <w:num w:numId="25" w16cid:durableId="507404939">
    <w:abstractNumId w:val="17"/>
  </w:num>
  <w:num w:numId="26" w16cid:durableId="240725950">
    <w:abstractNumId w:val="11"/>
  </w:num>
  <w:num w:numId="27" w16cid:durableId="1658680206">
    <w:abstractNumId w:val="24"/>
  </w:num>
  <w:num w:numId="28" w16cid:durableId="2102557353">
    <w:abstractNumId w:val="24"/>
  </w:num>
  <w:num w:numId="29" w16cid:durableId="644315398">
    <w:abstractNumId w:val="16"/>
  </w:num>
  <w:num w:numId="30" w16cid:durableId="111096229">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37B"/>
    <w:rsid w:val="00003431"/>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582"/>
    <w:rsid w:val="00032659"/>
    <w:rsid w:val="00032924"/>
    <w:rsid w:val="0003572F"/>
    <w:rsid w:val="00036079"/>
    <w:rsid w:val="00037636"/>
    <w:rsid w:val="000377BB"/>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47"/>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ADD"/>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096"/>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7E0"/>
    <w:rsid w:val="001448D4"/>
    <w:rsid w:val="00144B23"/>
    <w:rsid w:val="00144BEB"/>
    <w:rsid w:val="00145A96"/>
    <w:rsid w:val="00146C1A"/>
    <w:rsid w:val="00150AFC"/>
    <w:rsid w:val="00151DA8"/>
    <w:rsid w:val="00152135"/>
    <w:rsid w:val="00153164"/>
    <w:rsid w:val="001536AA"/>
    <w:rsid w:val="00154B0F"/>
    <w:rsid w:val="00154E30"/>
    <w:rsid w:val="00155A51"/>
    <w:rsid w:val="001560C4"/>
    <w:rsid w:val="001560CB"/>
    <w:rsid w:val="00156A50"/>
    <w:rsid w:val="00156B77"/>
    <w:rsid w:val="00156E31"/>
    <w:rsid w:val="00160472"/>
    <w:rsid w:val="00162951"/>
    <w:rsid w:val="001630B4"/>
    <w:rsid w:val="00165258"/>
    <w:rsid w:val="001652D6"/>
    <w:rsid w:val="00165670"/>
    <w:rsid w:val="00165A99"/>
    <w:rsid w:val="001675AA"/>
    <w:rsid w:val="00170325"/>
    <w:rsid w:val="00172653"/>
    <w:rsid w:val="00173AB9"/>
    <w:rsid w:val="001747DB"/>
    <w:rsid w:val="00174F3B"/>
    <w:rsid w:val="00175B12"/>
    <w:rsid w:val="00175F8E"/>
    <w:rsid w:val="00176167"/>
    <w:rsid w:val="00176A70"/>
    <w:rsid w:val="0017701E"/>
    <w:rsid w:val="00177020"/>
    <w:rsid w:val="0018072F"/>
    <w:rsid w:val="00180A53"/>
    <w:rsid w:val="00181BB0"/>
    <w:rsid w:val="001821DB"/>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9788B"/>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B25"/>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268"/>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5B54"/>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3A3E"/>
    <w:rsid w:val="002140F4"/>
    <w:rsid w:val="0021437E"/>
    <w:rsid w:val="0021440B"/>
    <w:rsid w:val="0021446F"/>
    <w:rsid w:val="002151EE"/>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69"/>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C93"/>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3782"/>
    <w:rsid w:val="002B4271"/>
    <w:rsid w:val="002B660A"/>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366"/>
    <w:rsid w:val="002D35B0"/>
    <w:rsid w:val="002D49E5"/>
    <w:rsid w:val="002D6257"/>
    <w:rsid w:val="002D6987"/>
    <w:rsid w:val="002D7AE3"/>
    <w:rsid w:val="002E030E"/>
    <w:rsid w:val="002E06B0"/>
    <w:rsid w:val="002E15A0"/>
    <w:rsid w:val="002E1982"/>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09A7"/>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69D"/>
    <w:rsid w:val="00327C29"/>
    <w:rsid w:val="00330E29"/>
    <w:rsid w:val="00330EF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47EF5"/>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0DC5"/>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0E1F"/>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705"/>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ACE"/>
    <w:rsid w:val="00407C38"/>
    <w:rsid w:val="0041061B"/>
    <w:rsid w:val="00411195"/>
    <w:rsid w:val="00411413"/>
    <w:rsid w:val="004127A0"/>
    <w:rsid w:val="00412ABD"/>
    <w:rsid w:val="00412C14"/>
    <w:rsid w:val="00413801"/>
    <w:rsid w:val="00413861"/>
    <w:rsid w:val="0041471C"/>
    <w:rsid w:val="004154F5"/>
    <w:rsid w:val="0041567E"/>
    <w:rsid w:val="004159B2"/>
    <w:rsid w:val="004170CE"/>
    <w:rsid w:val="00420227"/>
    <w:rsid w:val="00420545"/>
    <w:rsid w:val="00420E1B"/>
    <w:rsid w:val="00420EE4"/>
    <w:rsid w:val="004211CC"/>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86B"/>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3BB2"/>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7DE"/>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AEF"/>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DA"/>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09D"/>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2F86"/>
    <w:rsid w:val="0063336C"/>
    <w:rsid w:val="00633471"/>
    <w:rsid w:val="00633B1C"/>
    <w:rsid w:val="00633C00"/>
    <w:rsid w:val="006349A7"/>
    <w:rsid w:val="00634C01"/>
    <w:rsid w:val="00634DD7"/>
    <w:rsid w:val="00634EA3"/>
    <w:rsid w:val="0063508F"/>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8DC"/>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490"/>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4EC3"/>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0B77"/>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3420"/>
    <w:rsid w:val="00714B4F"/>
    <w:rsid w:val="007150E9"/>
    <w:rsid w:val="00715ACF"/>
    <w:rsid w:val="007161D0"/>
    <w:rsid w:val="007162FB"/>
    <w:rsid w:val="00716EF1"/>
    <w:rsid w:val="007173D7"/>
    <w:rsid w:val="00717ADD"/>
    <w:rsid w:val="0072084C"/>
    <w:rsid w:val="00720AC2"/>
    <w:rsid w:val="00722114"/>
    <w:rsid w:val="007230D3"/>
    <w:rsid w:val="0072348D"/>
    <w:rsid w:val="007242A5"/>
    <w:rsid w:val="0072615B"/>
    <w:rsid w:val="007267CF"/>
    <w:rsid w:val="00727843"/>
    <w:rsid w:val="007278B4"/>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7B2F"/>
    <w:rsid w:val="00760B2C"/>
    <w:rsid w:val="007622EA"/>
    <w:rsid w:val="007627F6"/>
    <w:rsid w:val="00762AE4"/>
    <w:rsid w:val="00762DDD"/>
    <w:rsid w:val="0076417D"/>
    <w:rsid w:val="007642BB"/>
    <w:rsid w:val="00765BBE"/>
    <w:rsid w:val="00766061"/>
    <w:rsid w:val="007704F3"/>
    <w:rsid w:val="007710F2"/>
    <w:rsid w:val="007716E9"/>
    <w:rsid w:val="00771ADE"/>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6B30"/>
    <w:rsid w:val="007C70BD"/>
    <w:rsid w:val="007C74F4"/>
    <w:rsid w:val="007D151B"/>
    <w:rsid w:val="007D1C72"/>
    <w:rsid w:val="007D1E64"/>
    <w:rsid w:val="007D223D"/>
    <w:rsid w:val="007D3BE5"/>
    <w:rsid w:val="007D5505"/>
    <w:rsid w:val="007D5B5D"/>
    <w:rsid w:val="007D68CB"/>
    <w:rsid w:val="007D7A1C"/>
    <w:rsid w:val="007D7D5B"/>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0BD8"/>
    <w:rsid w:val="007F11E6"/>
    <w:rsid w:val="007F20FF"/>
    <w:rsid w:val="007F2388"/>
    <w:rsid w:val="007F2641"/>
    <w:rsid w:val="007F280C"/>
    <w:rsid w:val="007F2D2B"/>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30D"/>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7712"/>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DC1"/>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1C24"/>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868"/>
    <w:rsid w:val="00914B83"/>
    <w:rsid w:val="009159E4"/>
    <w:rsid w:val="009166D3"/>
    <w:rsid w:val="00916BA8"/>
    <w:rsid w:val="00920127"/>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649E"/>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1EE0"/>
    <w:rsid w:val="009F256E"/>
    <w:rsid w:val="009F2CEE"/>
    <w:rsid w:val="009F2EF1"/>
    <w:rsid w:val="009F3F1F"/>
    <w:rsid w:val="009F426B"/>
    <w:rsid w:val="009F611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2AE8"/>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3BFA"/>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147D"/>
    <w:rsid w:val="00A82509"/>
    <w:rsid w:val="00A82DDB"/>
    <w:rsid w:val="00A83FA7"/>
    <w:rsid w:val="00A840D8"/>
    <w:rsid w:val="00A84AD9"/>
    <w:rsid w:val="00A84CB5"/>
    <w:rsid w:val="00A85D18"/>
    <w:rsid w:val="00A8608E"/>
    <w:rsid w:val="00A86211"/>
    <w:rsid w:val="00A87617"/>
    <w:rsid w:val="00A87B90"/>
    <w:rsid w:val="00A87BF7"/>
    <w:rsid w:val="00A9069E"/>
    <w:rsid w:val="00A923EA"/>
    <w:rsid w:val="00A93B35"/>
    <w:rsid w:val="00A94105"/>
    <w:rsid w:val="00A946C6"/>
    <w:rsid w:val="00A94A0D"/>
    <w:rsid w:val="00A94D43"/>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04C"/>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600"/>
    <w:rsid w:val="00B30C78"/>
    <w:rsid w:val="00B323A4"/>
    <w:rsid w:val="00B33563"/>
    <w:rsid w:val="00B3404B"/>
    <w:rsid w:val="00B34094"/>
    <w:rsid w:val="00B343F3"/>
    <w:rsid w:val="00B34BF7"/>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586D"/>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29BC"/>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6CCF"/>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C2D"/>
    <w:rsid w:val="00C27D3E"/>
    <w:rsid w:val="00C31248"/>
    <w:rsid w:val="00C31D09"/>
    <w:rsid w:val="00C325B3"/>
    <w:rsid w:val="00C3283F"/>
    <w:rsid w:val="00C32F79"/>
    <w:rsid w:val="00C33BF9"/>
    <w:rsid w:val="00C34A8F"/>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77FB"/>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1416"/>
    <w:rsid w:val="00C9245A"/>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1C7"/>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8A4"/>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87D"/>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876"/>
    <w:rsid w:val="00DD5970"/>
    <w:rsid w:val="00DD6D32"/>
    <w:rsid w:val="00DD6F65"/>
    <w:rsid w:val="00DD70A3"/>
    <w:rsid w:val="00DE02C1"/>
    <w:rsid w:val="00DE1C7E"/>
    <w:rsid w:val="00DE1E23"/>
    <w:rsid w:val="00DE219D"/>
    <w:rsid w:val="00DE23E7"/>
    <w:rsid w:val="00DE2E13"/>
    <w:rsid w:val="00DE3312"/>
    <w:rsid w:val="00DE3856"/>
    <w:rsid w:val="00DE415E"/>
    <w:rsid w:val="00DE5343"/>
    <w:rsid w:val="00DE5BEF"/>
    <w:rsid w:val="00DE66CD"/>
    <w:rsid w:val="00DE6958"/>
    <w:rsid w:val="00DE755D"/>
    <w:rsid w:val="00DF14FB"/>
    <w:rsid w:val="00DF183E"/>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583B"/>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26A7"/>
    <w:rsid w:val="00E23842"/>
    <w:rsid w:val="00E24B03"/>
    <w:rsid w:val="00E25668"/>
    <w:rsid w:val="00E25EA1"/>
    <w:rsid w:val="00E25FBE"/>
    <w:rsid w:val="00E26712"/>
    <w:rsid w:val="00E2682A"/>
    <w:rsid w:val="00E27447"/>
    <w:rsid w:val="00E3095F"/>
    <w:rsid w:val="00E30B43"/>
    <w:rsid w:val="00E30E4B"/>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74A"/>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8CA"/>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065C"/>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586B"/>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736"/>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EB2"/>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AB4"/>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4266"/>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27"/>
    <w:rsid w:val="00FD34F0"/>
    <w:rsid w:val="00FD3BCF"/>
    <w:rsid w:val="00FD4E5D"/>
    <w:rsid w:val="00FD5067"/>
    <w:rsid w:val="00FD6A19"/>
    <w:rsid w:val="00FD75BC"/>
    <w:rsid w:val="00FD762A"/>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E7E83"/>
    <w:rsid w:val="00FF2F94"/>
    <w:rsid w:val="00FF35C5"/>
    <w:rsid w:val="00FF37B2"/>
    <w:rsid w:val="00FF530E"/>
    <w:rsid w:val="00FF5C3C"/>
    <w:rsid w:val="00FF66BF"/>
    <w:rsid w:val="00FF6FC5"/>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F611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466FCC-BAAA-4864-A7F7-1D5A75D84912}"/>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3d05f658-b5f7-4df6-8c02-f51ceb2e0127"/>
    <ds:schemaRef ds:uri="bed7683f-31c5-4c04-bbbd-fa4ba9c25b3c"/>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1376</Words>
  <Characters>7849</Characters>
  <Application>Microsoft Office Word</Application>
  <DocSecurity>0</DocSecurity>
  <Lines>65</Lines>
  <Paragraphs>18</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UM PrimaryTemplate</vt:lpstr>
      <vt:lpstr>Post Limit Prior Authorization</vt:lpstr>
      <vt:lpstr>Insomnia Agents</vt:lpstr>
      <vt:lpstr>    Products Referenced by this Document</vt:lpstr>
      <vt:lpstr>    Indications</vt:lpstr>
      <vt:lpstr>        FDA-approved Indications</vt:lpstr>
      <vt:lpstr>    Coverage Criteria</vt:lpstr>
      <vt:lpstr>        Insomnia</vt:lpstr>
      <vt:lpstr>    Quantity Limits Apply</vt:lpstr>
      <vt:lpstr>    Duration of Approval (DOA)</vt:lpstr>
      <vt:lpstr>    References</vt:lpstr>
      <vt:lpstr>    Document History</vt:lpstr>
    </vt:vector>
  </TitlesOfParts>
  <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Insomnia Post Limit PA 915-J</dc:title>
  <dc:subject>Insomnia Post Limit PA 915-J</dc:subject>
  <dc:creator>CVS Caremark</dc:creator>
  <cp:keywords/>
  <cp:lastModifiedBy>Ali, Anum</cp:lastModifiedBy>
  <cp:revision>5</cp:revision>
  <cp:lastPrinted>2018-01-09T05:01:00Z</cp:lastPrinted>
  <dcterms:created xsi:type="dcterms:W3CDTF">2025-04-23T13:41:00Z</dcterms:created>
  <dcterms:modified xsi:type="dcterms:W3CDTF">2025-04-25T21:16:00Z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MediaServiceImageTags">
    <vt:lpwstr/>
  </property>
  <property fmtid="{D5CDD505-2E9C-101B-9397-08002B2CF9AE}" pid="10" name="Order">
    <vt:r8>2491600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ContentTypeId">
    <vt:lpwstr>0x0101004AE5A02051B9624785D9530930705DB3</vt:lpwstr>
  </property>
  <property fmtid="{D5CDD505-2E9C-101B-9397-08002B2CF9AE}" pid="18" name="_SourceUrl">
    <vt:lpwstr/>
  </property>
  <property fmtid="{D5CDD505-2E9C-101B-9397-08002B2CF9AE}" pid="19" name="_SharedFileIndex">
    <vt:lpwstr/>
  </property>
</Properties>
</file>